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FD612D" w:rsidRPr="00053BA7" w:rsidTr="00326A9F">
        <w:trPr>
          <w:trHeight w:val="1418"/>
        </w:trPr>
        <w:tc>
          <w:tcPr>
            <w:tcW w:w="4395" w:type="dxa"/>
            <w:vAlign w:val="center"/>
          </w:tcPr>
          <w:p w:rsidR="00FD612D" w:rsidRPr="00053BA7" w:rsidRDefault="00FD612D" w:rsidP="00326A9F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FD612D" w:rsidRPr="00053BA7" w:rsidRDefault="00FD612D" w:rsidP="00326A9F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FD612D" w:rsidRPr="000C4A62" w:rsidRDefault="00FD612D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муниципаль районыНЫ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FD612D" w:rsidRPr="000C4A62" w:rsidRDefault="00FD612D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0C4A62">
              <w:rPr>
                <w:rFonts w:ascii="Times New Roman" w:hAnsi="Times New Roman" w:cs="Times New Roman"/>
                <w:color w:val="auto"/>
                <w:sz w:val="21"/>
                <w:szCs w:val="21"/>
                <w:lang w:val="be-BY"/>
              </w:rPr>
              <w:t>Ҡ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FD612D" w:rsidRPr="000C4A62" w:rsidRDefault="00FD612D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FD612D" w:rsidRPr="000C4A62" w:rsidRDefault="00FD612D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FD612D" w:rsidRPr="00EB048D" w:rsidRDefault="00FD612D" w:rsidP="00326A9F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612D" w:rsidRPr="00053BA7" w:rsidRDefault="00FD612D" w:rsidP="00326A9F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FD612D" w:rsidRDefault="00FD612D" w:rsidP="00326A9F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FD612D" w:rsidRPr="00053BA7" w:rsidRDefault="00FD612D" w:rsidP="00326A9F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FD612D" w:rsidRPr="0043044B" w:rsidRDefault="00FD612D" w:rsidP="00FD612D">
      <w:pPr>
        <w:spacing w:after="0" w:line="240" w:lineRule="auto"/>
        <w:rPr>
          <w:sz w:val="16"/>
          <w:szCs w:val="16"/>
        </w:rPr>
      </w:pPr>
    </w:p>
    <w:p w:rsidR="00FD612D" w:rsidRPr="009C624E" w:rsidRDefault="00FD612D" w:rsidP="00FD612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Pr="009C624E">
        <w:rPr>
          <w:b/>
          <w:spacing w:val="24"/>
          <w:sz w:val="28"/>
          <w:szCs w:val="28"/>
          <w:lang w:val="be-BY"/>
        </w:rPr>
        <w:t xml:space="preserve">ҠАРАР                               </w:t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FD612D" w:rsidRPr="000C4A62" w:rsidRDefault="00FD612D" w:rsidP="00FD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28 февраль 2019  й.  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6-П   </w:t>
      </w:r>
      <w:r w:rsidRPr="000C4A6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28 февраля 2019 г.</w:t>
      </w:r>
    </w:p>
    <w:p w:rsidR="00FD612D" w:rsidRPr="000C4A62" w:rsidRDefault="00FD612D" w:rsidP="00FD61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AE2BFD" w:rsidRPr="00207B2D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7CB" w:rsidRPr="00086D0A" w:rsidRDefault="00AE2BFD" w:rsidP="0008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086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86D0A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86D0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086D0A" w:rsidRPr="005925C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86D0A">
        <w:rPr>
          <w:rFonts w:ascii="Times New Roman" w:hAnsi="Times New Roman" w:cs="Times New Roman"/>
          <w:b/>
          <w:sz w:val="28"/>
          <w:szCs w:val="28"/>
        </w:rPr>
        <w:t>и</w:t>
      </w:r>
      <w:r w:rsidR="00086D0A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5216E" w:rsidRPr="00207B2D" w:rsidRDefault="00B5216E" w:rsidP="00F45834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B647CB" w:rsidRPr="008E61D9" w:rsidRDefault="00B647CB" w:rsidP="00086D0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086D0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086D0A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086D0A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07B2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6D0A" w:rsidRPr="00086D0A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</w:t>
      </w:r>
      <w:r w:rsidR="00086D0A">
        <w:rPr>
          <w:rFonts w:ascii="Times New Roman" w:hAnsi="Times New Roman" w:cs="Times New Roman"/>
          <w:sz w:val="28"/>
          <w:szCs w:val="28"/>
        </w:rPr>
        <w:t xml:space="preserve">н постановляет:  </w:t>
      </w:r>
    </w:p>
    <w:p w:rsidR="00086D0A" w:rsidRDefault="00920CBD" w:rsidP="00086D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r w:rsidR="007E2B45" w:rsidRPr="00086D0A">
        <w:rPr>
          <w:rFonts w:ascii="Times New Roman" w:hAnsi="Times New Roman"/>
          <w:sz w:val="28"/>
          <w:szCs w:val="28"/>
        </w:rPr>
        <w:t>»</w:t>
      </w:r>
      <w:r w:rsidR="00086D0A" w:rsidRPr="00086D0A">
        <w:rPr>
          <w:rFonts w:ascii="Times New Roman" w:hAnsi="Times New Roman"/>
          <w:sz w:val="28"/>
          <w:szCs w:val="28"/>
        </w:rPr>
        <w:t xml:space="preserve"> </w:t>
      </w:r>
      <w:r w:rsidR="00AE2BFD" w:rsidRPr="00086D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6D0A" w:rsidRPr="00086D0A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086D0A">
        <w:rPr>
          <w:rFonts w:ascii="Times New Roman" w:hAnsi="Times New Roman" w:cs="Times New Roman"/>
          <w:sz w:val="28"/>
          <w:szCs w:val="28"/>
        </w:rPr>
        <w:t>.</w:t>
      </w:r>
      <w:r w:rsidR="00086D0A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8E61D9" w:rsidRDefault="00AE447C" w:rsidP="00086D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</w:t>
      </w:r>
      <w:r w:rsidR="00086D0A">
        <w:rPr>
          <w:rFonts w:ascii="Times New Roman" w:hAnsi="Times New Roman" w:cs="Times New Roman"/>
          <w:sz w:val="28"/>
          <w:szCs w:val="28"/>
        </w:rPr>
        <w:t>.</w:t>
      </w:r>
    </w:p>
    <w:p w:rsidR="00AE447C" w:rsidRPr="008E61D9" w:rsidRDefault="00AE447C" w:rsidP="00F45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20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</w:t>
      </w:r>
      <w:r w:rsidR="0020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и на официальном сайте в сети Интернет. </w:t>
      </w:r>
    </w:p>
    <w:p w:rsidR="00CC3CCD" w:rsidRPr="008E61D9" w:rsidRDefault="00AE44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7B2D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CC3CC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E447C" w:rsidRDefault="00AE44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2D" w:rsidRPr="008E61D9" w:rsidRDefault="00FD612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8E61D9" w:rsidRDefault="00207B2D" w:rsidP="00F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207B2D" w:rsidRDefault="00207B2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612D" w:rsidRDefault="00FD612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207B2D" w:rsidRDefault="00AE2BF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207B2D" w:rsidRDefault="00207B2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>п</w:t>
      </w:r>
      <w:r w:rsidR="00AE2BFD" w:rsidRPr="00207B2D">
        <w:rPr>
          <w:rFonts w:ascii="Times New Roman" w:hAnsi="Times New Roman" w:cs="Times New Roman"/>
          <w:sz w:val="28"/>
          <w:szCs w:val="28"/>
        </w:rPr>
        <w:t>остановлением</w:t>
      </w:r>
      <w:r w:rsidRPr="00207B2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07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B2D" w:rsidRPr="00207B2D" w:rsidRDefault="00207B2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207B2D" w:rsidRPr="00207B2D" w:rsidRDefault="00207B2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207B2D" w:rsidRPr="00207B2D" w:rsidRDefault="00207B2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</w:t>
      </w:r>
    </w:p>
    <w:p w:rsidR="00207B2D" w:rsidRPr="00207B2D" w:rsidRDefault="00207B2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E2BFD" w:rsidRPr="008E61D9" w:rsidRDefault="00920CB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B2D">
        <w:rPr>
          <w:rFonts w:ascii="Times New Roman" w:hAnsi="Times New Roman" w:cs="Times New Roman"/>
          <w:sz w:val="28"/>
          <w:szCs w:val="28"/>
        </w:rPr>
        <w:t xml:space="preserve">от </w:t>
      </w:r>
      <w:r w:rsidR="00FD612D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207B2D">
        <w:rPr>
          <w:rFonts w:ascii="Times New Roman" w:hAnsi="Times New Roman" w:cs="Times New Roman"/>
          <w:sz w:val="28"/>
          <w:szCs w:val="28"/>
        </w:rPr>
        <w:t>20</w:t>
      </w:r>
      <w:r w:rsidR="00FD612D">
        <w:rPr>
          <w:rFonts w:ascii="Times New Roman" w:hAnsi="Times New Roman" w:cs="Times New Roman"/>
          <w:sz w:val="28"/>
          <w:szCs w:val="28"/>
        </w:rPr>
        <w:t xml:space="preserve">19 </w:t>
      </w:r>
      <w:r w:rsidR="00AE2BFD" w:rsidRPr="00207B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B2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07B2D">
        <w:rPr>
          <w:rFonts w:ascii="Times New Roman" w:hAnsi="Times New Roman" w:cs="Times New Roman"/>
          <w:sz w:val="28"/>
          <w:szCs w:val="28"/>
        </w:rPr>
        <w:t>№</w:t>
      </w:r>
      <w:r w:rsidR="00FD612D">
        <w:rPr>
          <w:rFonts w:ascii="Times New Roman" w:hAnsi="Times New Roman" w:cs="Times New Roman"/>
          <w:sz w:val="28"/>
          <w:szCs w:val="28"/>
        </w:rPr>
        <w:t xml:space="preserve"> 26-П</w:t>
      </w:r>
    </w:p>
    <w:p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20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B2D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07B2D">
        <w:rPr>
          <w:rFonts w:ascii="Times New Roman" w:hAnsi="Times New Roman" w:cs="Times New Roman"/>
          <w:b/>
          <w:sz w:val="28"/>
          <w:szCs w:val="28"/>
        </w:rPr>
        <w:t>м поселении</w:t>
      </w:r>
      <w:r w:rsidR="00207B2D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207B2D" w:rsidRDefault="00207B2D" w:rsidP="0020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D" w:rsidRPr="008E61D9" w:rsidRDefault="00207B2D" w:rsidP="0020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207B2D" w:rsidRDefault="007A0AB8" w:rsidP="00207B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207B2D" w:rsidRPr="00207B2D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207B2D">
        <w:rPr>
          <w:rFonts w:ascii="Times New Roman" w:hAnsi="Times New Roman" w:cs="Times New Roman"/>
          <w:sz w:val="28"/>
          <w:szCs w:val="28"/>
        </w:rPr>
        <w:t>.</w:t>
      </w: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207B2D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</w:t>
      </w:r>
      <w:r w:rsidR="00CC3CCD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07B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B2D" w:rsidRPr="00207B2D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уполномоченной на предоставление муниципальной услуги,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1851A1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F1055" w:rsidRPr="00850E15" w:rsidRDefault="002F1055" w:rsidP="00185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1851A1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51A1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51A1">
        <w:rPr>
          <w:rFonts w:ascii="Times New Roman" w:hAnsi="Times New Roman" w:cs="Times New Roman"/>
          <w:sz w:val="28"/>
          <w:szCs w:val="28"/>
        </w:rPr>
        <w:t xml:space="preserve"> </w:t>
      </w:r>
      <w:r w:rsidR="001851A1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1851A1" w:rsidRPr="001851A1">
        <w:rPr>
          <w:rFonts w:ascii="Times New Roman" w:hAnsi="Times New Roman" w:cs="Times New Roman"/>
          <w:sz w:val="28"/>
          <w:szCs w:val="28"/>
        </w:rPr>
        <w:t>.</w:t>
      </w:r>
      <w:r w:rsidR="001851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(Уполномоченного органа);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C240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777FA7">
        <w:rPr>
          <w:rFonts w:ascii="Times New Roman" w:hAnsi="Times New Roman" w:cs="Times New Roman"/>
          <w:sz w:val="28"/>
          <w:szCs w:val="28"/>
        </w:rPr>
        <w:t>м органе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C24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240D" w:rsidRPr="006C240D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E61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40D" w:rsidRDefault="006C240D" w:rsidP="006C240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4F20C6" w:rsidRDefault="006C240D" w:rsidP="004F20C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20C6" w:rsidRPr="004F20C6" w:rsidRDefault="006C240D" w:rsidP="004F20C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0C6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 w:rsidR="004F20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8E61D9" w:rsidRDefault="00285292" w:rsidP="004F2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045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045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8E61D9" w:rsidRDefault="0051416C" w:rsidP="0004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04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04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D97B3C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8E61D9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>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045B0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045B0A">
        <w:rPr>
          <w:rFonts w:ascii="Times New Roman" w:hAnsi="Times New Roman" w:cs="Times New Roman"/>
          <w:sz w:val="28"/>
          <w:szCs w:val="28"/>
        </w:rPr>
        <w:t xml:space="preserve"> сельского поселения Акъярский сельсовет (Уполномоченного органа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1541BA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 w:rsidR="00503617">
        <w:rPr>
          <w:rFonts w:ascii="Times New Roman" w:hAnsi="Times New Roman"/>
          <w:b/>
          <w:sz w:val="28"/>
          <w:szCs w:val="24"/>
        </w:rPr>
        <w:t>2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E40A4A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045B0A" w:rsidRDefault="00045B0A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045B0A" w:rsidRDefault="00045B0A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045B0A" w:rsidRDefault="00045B0A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045B0A" w:rsidRDefault="00045B0A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Приложение № </w:t>
      </w:r>
      <w:r>
        <w:rPr>
          <w:rFonts w:ascii="Times New Roman" w:hAnsi="Times New Roman"/>
          <w:b/>
          <w:sz w:val="28"/>
          <w:szCs w:val="24"/>
        </w:rPr>
        <w:t>3</w:t>
      </w:r>
    </w:p>
    <w:p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185A91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FD612D">
      <w:headerReference w:type="default" r:id="rId34"/>
      <w:headerReference w:type="first" r:id="rId35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DD" w:rsidRDefault="00D53ADD">
      <w:pPr>
        <w:spacing w:after="0" w:line="240" w:lineRule="auto"/>
      </w:pPr>
      <w:r>
        <w:separator/>
      </w:r>
    </w:p>
  </w:endnote>
  <w:endnote w:type="continuationSeparator" w:id="1">
    <w:p w:rsidR="00D53ADD" w:rsidRDefault="00D5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DD" w:rsidRDefault="00D53ADD">
      <w:pPr>
        <w:spacing w:after="0" w:line="240" w:lineRule="auto"/>
      </w:pPr>
      <w:r>
        <w:separator/>
      </w:r>
    </w:p>
  </w:footnote>
  <w:footnote w:type="continuationSeparator" w:id="1">
    <w:p w:rsidR="00D53ADD" w:rsidRDefault="00D5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D0A" w:rsidRPr="00CC3CCD" w:rsidRDefault="00D97B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6D0A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12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D0A" w:rsidRDefault="00086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D0A" w:rsidRPr="00CC3CCD" w:rsidRDefault="00D97B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6D0A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1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D0A" w:rsidRDefault="00086D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5B0A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D0A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1A1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125F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07B2D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4F20C6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A7B47"/>
    <w:rsid w:val="006B087C"/>
    <w:rsid w:val="006C0DF0"/>
    <w:rsid w:val="006C240D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77FA7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37442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3ADD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97B3C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572A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1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99C9-10A8-49D1-B337-CF75829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17650</Words>
  <Characters>100606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2018-05-25T09:09:00Z</cp:lastPrinted>
  <dcterms:created xsi:type="dcterms:W3CDTF">2019-03-06T08:33:00Z</dcterms:created>
  <dcterms:modified xsi:type="dcterms:W3CDTF">2019-03-06T08:33:00Z</dcterms:modified>
</cp:coreProperties>
</file>